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LEKSEPRAKSIS PÅ SJERNARØY OPPVEKSTSENTER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635"/>
        <w:gridCol w:w="4635"/>
        <w:tblGridChange w:id="0">
          <w:tblGrid>
            <w:gridCol w:w="4650"/>
            <w:gridCol w:w="463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1.-2. trinn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3.-4. trinn</w:t>
            </w:r>
          </w:p>
        </w:tc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5.-7. trinn</w:t>
            </w:r>
          </w:p>
        </w:tc>
      </w:tr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Daglige leselekser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Munnlege lekser og aktivitetar for ferdighetstrening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Daglige leselekser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Skrivelekse ein dag i veka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Daglige leselekser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Engelsklekse ein dag i veka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Skrivelekse matematikk </w:t>
            </w:r>
          </w:p>
        </w:tc>
      </w:tr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Kva type lekser?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Leselekse norsk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Munnleg øving på matematiske ferdigheter og ord og begrep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</w:pPr>
            <w:r w:rsidDel="00000000" w:rsidR="00000000" w:rsidRPr="00000000">
              <w:rPr>
                <w:rtl w:val="0"/>
              </w:rPr>
              <w:t xml:space="preserve">Vise fram mestringsoppgåver heime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Omfang: 10-20 minutt daglig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Kva type lekser?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Leselekse norsk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t xml:space="preserve">Munnleg øving på matematiske ferdigheter og ord og begrep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Skrivelekser ein dag i veka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t xml:space="preserve">Vise fram mestringsoppgåver heime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Omfang: 10-20 minutt daglig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Kva type lekser?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Leselekse i fleire fag. Desse brukes som førebuing eller repetisjon av kjent stoff.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Vise fram mestringsoppgåver heime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Engelsklekse, skriftleg og munnleg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Skrivelekse matematikk, digital eller i mattebok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Omfang 15-30 minutt daglig</w:t>
            </w:r>
          </w:p>
        </w:tc>
      </w:tr>
    </w:tbl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43125" cy="2143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